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="00BF7B95"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:rsidR="00AC1AAD" w:rsidRPr="00FB2B47" w:rsidRDefault="006138C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:rsidR="001A04C5" w:rsidRPr="00FB2B47" w:rsidRDefault="006138CE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6A183B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lastRenderedPageBreak/>
        <w:t xml:space="preserve">dzieci </w:t>
      </w:r>
      <w:r w:rsidR="00C162CE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do 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16</w:t>
      </w:r>
      <w:r w:rsidR="003E6BEF" w:rsidRPr="006A183B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C162CE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6A183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 xml:space="preserve"> 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oraz</w:t>
      </w:r>
    </w:p>
    <w:p w:rsidR="00B03D07" w:rsidRPr="006A183B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os</w:t>
      </w:r>
      <w:r w:rsidR="00993EB4" w:rsidRPr="006A183B">
        <w:rPr>
          <w:rFonts w:asciiTheme="minorHAnsi" w:hAnsiTheme="minorHAnsi" w:cstheme="minorHAnsi"/>
          <w:color w:val="FF0000"/>
          <w:sz w:val="24"/>
          <w:szCs w:val="24"/>
        </w:rPr>
        <w:t>oby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niepełnosprawn</w:t>
      </w:r>
      <w:r w:rsidR="00993EB4" w:rsidRPr="006A183B"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posiadając</w:t>
      </w:r>
      <w:r w:rsidR="00993EB4" w:rsidRPr="006A183B"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orzeczenie</w:t>
      </w:r>
      <w:r w:rsidR="00B03D07" w:rsidRPr="006A183B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:rsidR="00B03D07" w:rsidRPr="006A183B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o </w:t>
      </w:r>
      <w:r w:rsidR="009F2988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znacznym 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stopniu </w:t>
      </w:r>
      <w:r w:rsidR="009F2988" w:rsidRPr="006A183B">
        <w:rPr>
          <w:rFonts w:asciiTheme="minorHAnsi" w:hAnsiTheme="minorHAnsi" w:cstheme="minorHAnsi"/>
          <w:color w:val="FF0000"/>
          <w:sz w:val="24"/>
          <w:szCs w:val="24"/>
        </w:rPr>
        <w:t>niepełnosprawności albo</w:t>
      </w:r>
    </w:p>
    <w:p w:rsidR="00B03D07" w:rsidRPr="006A183B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o </w:t>
      </w:r>
      <w:r w:rsidR="009F2988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umiarkowanym </w:t>
      </w:r>
      <w:r w:rsidR="00B0280E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stopniu </w:t>
      </w:r>
      <w:r w:rsidR="009F2988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niepełnosprawności </w:t>
      </w:r>
      <w:r w:rsidR="00B0280E" w:rsidRPr="006A183B">
        <w:rPr>
          <w:rFonts w:asciiTheme="minorHAnsi" w:hAnsiTheme="minorHAnsi" w:cstheme="minorHAnsi"/>
          <w:color w:val="FF0000"/>
          <w:sz w:val="24"/>
          <w:szCs w:val="24"/>
        </w:rPr>
        <w:t>albo</w:t>
      </w:r>
    </w:p>
    <w:p w:rsidR="00B0280E" w:rsidRPr="006A183B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traktowane na </w:t>
      </w:r>
      <w:r w:rsidR="00B0280E" w:rsidRPr="006A183B">
        <w:rPr>
          <w:rFonts w:asciiTheme="minorHAnsi" w:hAnsiTheme="minorHAnsi" w:cstheme="minorHAnsi"/>
          <w:color w:val="FF0000"/>
          <w:sz w:val="24"/>
          <w:szCs w:val="24"/>
        </w:rPr>
        <w:t>równ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i</w:t>
      </w:r>
      <w:r w:rsidR="00B0280E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F2988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z </w:t>
      </w:r>
      <w:r w:rsidR="00365856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orzeczeniami </w:t>
      </w:r>
      <w:r w:rsidR="00B0280E" w:rsidRPr="006A183B">
        <w:rPr>
          <w:rFonts w:asciiTheme="minorHAnsi" w:hAnsiTheme="minorHAnsi" w:cstheme="minorHAnsi"/>
          <w:color w:val="FF0000"/>
          <w:sz w:val="24"/>
          <w:szCs w:val="24"/>
        </w:rPr>
        <w:t>wymieniony</w:t>
      </w:r>
      <w:r w:rsidR="009F2988" w:rsidRPr="006A183B">
        <w:rPr>
          <w:rFonts w:asciiTheme="minorHAnsi" w:hAnsiTheme="minorHAnsi" w:cstheme="minorHAnsi"/>
          <w:color w:val="FF0000"/>
          <w:sz w:val="24"/>
          <w:szCs w:val="24"/>
        </w:rPr>
        <w:t>mi</w:t>
      </w:r>
      <w:r w:rsidR="003E6BEF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w lit. a i b</w:t>
      </w:r>
      <w:r w:rsidR="009F2988" w:rsidRPr="006A183B">
        <w:rPr>
          <w:rFonts w:asciiTheme="minorHAnsi" w:hAnsiTheme="minorHAnsi" w:cstheme="minorHAnsi"/>
          <w:color w:val="FF0000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365856" w:rsidRPr="006A183B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677C49" w:rsidRPr="006A183B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- </w:t>
      </w:r>
      <w:r w:rsidR="00F86B4D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w tym osoby z niepełnosprawnościami sprzężonymi </w:t>
      </w:r>
      <w:r w:rsidR="00FB310E" w:rsidRPr="006A183B">
        <w:rPr>
          <w:rFonts w:cs="Calibri"/>
          <w:color w:val="FF0000"/>
          <w:sz w:val="24"/>
          <w:szCs w:val="24"/>
        </w:rPr>
        <w:t xml:space="preserve">(przez niepełnosprawność sprzężoną rozumie się posiadanie orzeczenia ze wskazaniem co najmniej dwóch przyczyn niepełnosprawności) </w:t>
      </w:r>
      <w:r w:rsidR="00F86B4D" w:rsidRPr="006A183B">
        <w:rPr>
          <w:rFonts w:asciiTheme="minorHAnsi" w:hAnsiTheme="minorHAnsi" w:cstheme="minorHAnsi"/>
          <w:color w:val="FF0000"/>
          <w:sz w:val="24"/>
          <w:szCs w:val="24"/>
        </w:rPr>
        <w:t>i trudnościami związanymi z mobilnością i komunikacją.</w:t>
      </w:r>
    </w:p>
    <w:p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9224D5" w:rsidRPr="006A183B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wskazane przez uczestnika lub jego opiekuna prawnego</w:t>
      </w:r>
      <w:r w:rsidR="00713E63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="007A78A0" w:rsidRPr="006A183B">
        <w:rPr>
          <w:rFonts w:asciiTheme="minorHAnsi" w:hAnsiTheme="minorHAnsi" w:cstheme="minorHAnsi"/>
          <w:color w:val="FF0000"/>
          <w:sz w:val="24"/>
          <w:szCs w:val="24"/>
        </w:rPr>
        <w:t>pod warunkiem</w:t>
      </w:r>
      <w:r w:rsidR="009B51B9" w:rsidRPr="006A183B">
        <w:rPr>
          <w:rFonts w:asciiTheme="minorHAnsi" w:hAnsiTheme="minorHAnsi" w:cstheme="minorHAnsi"/>
          <w:color w:val="FF0000"/>
          <w:sz w:val="24"/>
          <w:szCs w:val="24"/>
        </w:rPr>
        <w:t>, że</w:t>
      </w:r>
      <w:r w:rsidR="007A78A0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B51B9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osoba wskazana </w:t>
      </w:r>
      <w:r w:rsidR="009B51B9" w:rsidRPr="006A183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spełnia </w:t>
      </w:r>
      <w:r w:rsidR="00145463" w:rsidRPr="006A183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przynajmniej jeden </w:t>
      </w:r>
      <w:r w:rsidR="009B51B9" w:rsidRPr="006A183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z warunków, o których mowa w pkt </w:t>
      </w:r>
      <w:r w:rsidR="00344228" w:rsidRPr="006A183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1 lub 2.</w:t>
      </w:r>
    </w:p>
    <w:p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F7FF7" w:rsidRPr="006A183B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Na potrzeby realizacji Programu, za członków rodziny </w:t>
      </w:r>
      <w:r w:rsidR="004D72CE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uczestnika </w:t>
      </w:r>
      <w:r w:rsidR="00551063" w:rsidRPr="006A183B">
        <w:rPr>
          <w:rFonts w:asciiTheme="minorHAnsi" w:hAnsiTheme="minorHAnsi" w:cstheme="minorHAnsi"/>
          <w:color w:val="FF0000"/>
          <w:sz w:val="24"/>
          <w:szCs w:val="24"/>
        </w:rPr>
        <w:t>uznaje się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46EE1" w:rsidRPr="006A183B">
        <w:rPr>
          <w:rFonts w:asciiTheme="minorHAnsi" w:hAnsiTheme="minorHAnsi" w:cstheme="minorHAnsi"/>
          <w:color w:val="FF0000"/>
          <w:sz w:val="24"/>
          <w:szCs w:val="24"/>
        </w:rPr>
        <w:t>wstępnych lub zstępnych, małżonka, rodzeństwo, teściów, macochę, ojczyma</w:t>
      </w:r>
      <w:r w:rsidR="009224D5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oraz osobę pozostającą</w:t>
      </w:r>
      <w:r w:rsidR="00746EE1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we wspólnym pożyciu, a także osobę pozostającą w stosunku przysposobienia</w:t>
      </w:r>
      <w:r w:rsidR="00746EE1" w:rsidRPr="006A183B" w:rsidDel="00746EE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z uczestnikiem.</w:t>
      </w:r>
    </w:p>
    <w:p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dzieci niepełnosprawnych do 16</w:t>
      </w:r>
      <w:r w:rsidR="00DA0993" w:rsidRPr="006A183B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roku życia</w:t>
      </w:r>
      <w:r w:rsidRPr="00FB2B47">
        <w:rPr>
          <w:rFonts w:asciiTheme="minorHAnsi" w:hAnsiTheme="minorHAnsi" w:cstheme="minorHAnsi"/>
          <w:sz w:val="24"/>
          <w:szCs w:val="24"/>
        </w:rPr>
        <w:t xml:space="preserve">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:rsidR="001271C1" w:rsidRPr="006A183B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zaświadczenie o niekaralności</w:t>
      </w:r>
      <w:r w:rsidR="00781FC2" w:rsidRPr="006A183B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:rsidR="001271C1" w:rsidRPr="006A183B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informacja </w:t>
      </w:r>
      <w:r w:rsidR="0097183B" w:rsidRPr="006A183B">
        <w:rPr>
          <w:rFonts w:asciiTheme="minorHAnsi" w:hAnsiTheme="minorHAnsi" w:cstheme="minorHAnsi"/>
          <w:color w:val="FF0000"/>
          <w:sz w:val="24"/>
          <w:szCs w:val="24"/>
        </w:rPr>
        <w:t>o niefigurowaniu w Rejestrze Sprawców Przestępstw na Tle Seksualnym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w postaci wydruku pobranej informacji z</w:t>
      </w:r>
      <w:r w:rsidR="00DC5E3D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Rejestru;</w:t>
      </w:r>
    </w:p>
    <w:p w:rsidR="0097183B" w:rsidRPr="006A183B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pisemna akceptacja osoby asystenta ze strony rodzica lub opiekuna prawnego dziecka z niepełnosprawnością.</w:t>
      </w:r>
    </w:p>
    <w:p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U</w:t>
      </w:r>
      <w:r w:rsidR="00F86B4D" w:rsidRPr="006A183B">
        <w:rPr>
          <w:rFonts w:asciiTheme="minorHAnsi" w:hAnsiTheme="minorHAnsi" w:cstheme="minorHAnsi"/>
          <w:color w:val="FF0000"/>
          <w:sz w:val="24"/>
          <w:szCs w:val="24"/>
        </w:rPr>
        <w:t>sługi asysten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cji osobistej</w:t>
      </w:r>
      <w:r w:rsidR="00F86B4D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mogą być realizowane przez 24 god</w:t>
      </w:r>
      <w:r w:rsidR="00B6596B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ziny na dobę, 7 dni w tygodniu, </w:t>
      </w:r>
      <w:r w:rsidR="00563C27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przy czym przez tą samą osobę </w:t>
      </w:r>
      <w:r w:rsidR="00563C27" w:rsidRPr="006A183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maksymalnie do 12 godzin na dobę</w:t>
      </w:r>
      <w:r w:rsidR="00064065" w:rsidRPr="006A183B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064065">
        <w:rPr>
          <w:rFonts w:asciiTheme="minorHAnsi" w:hAnsiTheme="minorHAnsi" w:cstheme="minorHAnsi"/>
          <w:sz w:val="24"/>
          <w:szCs w:val="24"/>
        </w:rPr>
        <w:t xml:space="preserve">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A55DC8" w:rsidRPr="006A183B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6A183B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:rsidR="00A55DC8" w:rsidRPr="006A183B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720 godzin rocznie dla osób niepełnosprawnych posiadających orzeczenie o znacznym stopniu niepełnosprawności</w:t>
      </w:r>
      <w:r w:rsidR="008964D1" w:rsidRPr="006A183B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:rsidR="000F5DE6" w:rsidRPr="006A183B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:rsidR="00A55DC8" w:rsidRPr="006A183B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360</w:t>
      </w:r>
      <w:r w:rsidR="00AC46BB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55DC8" w:rsidRPr="006A183B">
        <w:rPr>
          <w:rFonts w:asciiTheme="minorHAnsi" w:hAnsiTheme="minorHAnsi" w:cstheme="minorHAnsi"/>
          <w:color w:val="FF0000"/>
          <w:sz w:val="24"/>
          <w:szCs w:val="24"/>
        </w:rPr>
        <w:t>godzin rocznie dla:</w:t>
      </w:r>
    </w:p>
    <w:p w:rsidR="00A55DC8" w:rsidRPr="006A183B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osób niepełnosprawnych posiadających orzeczenie o umiarkowanym stopniu niepełnosprawności,</w:t>
      </w:r>
    </w:p>
    <w:p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A183B">
        <w:rPr>
          <w:rFonts w:asciiTheme="minorHAnsi" w:hAnsiTheme="minorHAnsi" w:cstheme="minorHAnsi"/>
          <w:color w:val="FF0000"/>
          <w:sz w:val="24"/>
          <w:szCs w:val="24"/>
        </w:rPr>
        <w:t>dzieci do 16</w:t>
      </w:r>
      <w:r w:rsidR="00A350FC" w:rsidRPr="006A183B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roku życia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6A183B">
        <w:rPr>
          <w:rFonts w:asciiTheme="minorHAnsi" w:hAnsiTheme="minorHAnsi" w:cstheme="minorHAnsi"/>
          <w:color w:val="FF0000"/>
          <w:sz w:val="24"/>
          <w:szCs w:val="24"/>
        </w:rPr>
        <w:t>nie może przekroczyć 40 zł</w:t>
      </w:r>
      <w:r w:rsidR="00DD0462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brutto</w:t>
      </w:r>
      <w:r w:rsidR="003E0D30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wraz z </w:t>
      </w:r>
      <w:r w:rsidR="0058698C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kosztami </w:t>
      </w:r>
      <w:r w:rsidR="003A490E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pracy </w:t>
      </w:r>
      <w:r w:rsidR="00426F0A" w:rsidRPr="006A183B">
        <w:rPr>
          <w:rFonts w:asciiTheme="minorHAnsi" w:hAnsiTheme="minorHAnsi" w:cstheme="minorHAnsi"/>
          <w:color w:val="FF0000"/>
          <w:sz w:val="24"/>
          <w:szCs w:val="24"/>
        </w:rPr>
        <w:t>zatrudniającego</w:t>
      </w:r>
      <w:r w:rsidR="004476B0" w:rsidRPr="006A183B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9728CB" w:rsidRPr="006A183B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A63B05" w:rsidRPr="006A183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:rsidR="009551B8" w:rsidRPr="0053180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bookmarkStart w:id="54" w:name="_Toc462299089"/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Realizator </w:t>
      </w:r>
      <w:r w:rsidR="008F7D77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Programu 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obowiązany jest dokonywać </w:t>
      </w:r>
      <w:r w:rsidR="00E55AF9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doraźnych 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kontroli i</w:t>
      </w:r>
      <w:r w:rsidR="00ED3D63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monitorowania świadczonych usług</w:t>
      </w:r>
      <w:r w:rsidR="00E55AF9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asystencji osobistej. Czynności</w:t>
      </w:r>
      <w:r w:rsidR="00C14263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="00080AFD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w zakresie </w:t>
      </w:r>
      <w:r w:rsidR="00C14263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kontroli i monitorowania</w:t>
      </w:r>
      <w:r w:rsidR="00E55AF9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dokonywane </w:t>
      </w:r>
      <w:r w:rsidR="00362721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i dokumentowane 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są bezpośrednio w miejscu realizacji usług</w:t>
      </w:r>
      <w:r w:rsidR="00080AFD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asystencji osobistej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.</w:t>
      </w:r>
    </w:p>
    <w:p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53180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>Kosztami związanymi bezpośrednio z realizacją usług asystencji osobistej są</w:t>
      </w:r>
      <w:r w:rsidR="00F14183" w:rsidRPr="00531807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:rsidR="00677C49" w:rsidRPr="0053180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>wynagrodzenie asystent</w:t>
      </w:r>
      <w:r w:rsidR="00F26555" w:rsidRPr="00531807">
        <w:rPr>
          <w:rFonts w:asciiTheme="minorHAnsi" w:hAnsiTheme="minorHAnsi" w:cstheme="minorHAnsi"/>
          <w:color w:val="FF0000"/>
          <w:sz w:val="24"/>
          <w:szCs w:val="24"/>
        </w:rPr>
        <w:t>a</w:t>
      </w:r>
      <w:r w:rsidR="00F26555" w:rsidRPr="0053180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E4478E" w:rsidRPr="00531807">
        <w:rPr>
          <w:rFonts w:asciiTheme="minorHAnsi" w:hAnsiTheme="minorHAnsi" w:cstheme="minorHAnsi"/>
          <w:color w:val="FF0000"/>
          <w:sz w:val="24"/>
          <w:szCs w:val="24"/>
        </w:rPr>
        <w:t>za wykonaną usługę</w:t>
      </w:r>
      <w:r w:rsidR="00F26555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asystencji osobistej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:rsidR="00677C49" w:rsidRPr="0053180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koszt 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>zakup</w:t>
      </w:r>
      <w:r w:rsidR="005833D2" w:rsidRPr="00531807">
        <w:rPr>
          <w:rFonts w:asciiTheme="minorHAnsi" w:hAnsiTheme="minorHAnsi" w:cstheme="minorHAnsi"/>
          <w:color w:val="FF0000"/>
          <w:sz w:val="24"/>
          <w:szCs w:val="24"/>
        </w:rPr>
        <w:t>u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E53FC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jednorazowych 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biletów komunikacji publicznej/prywatnej </w:t>
      </w:r>
      <w:r w:rsidR="00E85A14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dla asystenta towarzyszącego uczestnikowi 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oraz koszt </w:t>
      </w:r>
      <w:r w:rsidR="005D188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przejazdów </w:t>
      </w:r>
      <w:r w:rsidR="007610BE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asystentów 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>własnym/</w:t>
      </w:r>
      <w:r w:rsidR="007B73E9" w:rsidRPr="00531807">
        <w:rPr>
          <w:rFonts w:asciiTheme="minorHAnsi" w:hAnsiTheme="minorHAnsi" w:cstheme="minorHAnsi"/>
          <w:color w:val="FF0000"/>
          <w:sz w:val="24"/>
          <w:szCs w:val="24"/>
        </w:rPr>
        <w:t>udostępnionym przez osobę trzecią/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531807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:rsidR="003B5237" w:rsidRPr="0053180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koszt </w:t>
      </w:r>
      <w:r w:rsidR="003B5237" w:rsidRPr="00531807">
        <w:rPr>
          <w:rFonts w:asciiTheme="minorHAnsi" w:hAnsiTheme="minorHAnsi" w:cstheme="minorHAnsi"/>
          <w:color w:val="FF0000"/>
          <w:sz w:val="24"/>
          <w:szCs w:val="24"/>
        </w:rPr>
        <w:t>zakupu biletów wstępu na wydarzenia kulturalne, rozrywkowe, sportowe lub społeczne itp. dla asystenta towar</w:t>
      </w:r>
      <w:r w:rsidR="00465117" w:rsidRPr="00531807">
        <w:rPr>
          <w:rFonts w:asciiTheme="minorHAnsi" w:hAnsiTheme="minorHAnsi" w:cstheme="minorHAnsi"/>
          <w:color w:val="FF0000"/>
          <w:sz w:val="24"/>
          <w:szCs w:val="24"/>
        </w:rPr>
        <w:t>zyszącego uczestnikowi</w:t>
      </w:r>
      <w:r w:rsidR="003B5237" w:rsidRPr="00531807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:rsidR="000C7923" w:rsidRPr="0053180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koszt ubezpieczeń OC </w:t>
      </w:r>
      <w:r w:rsidR="00E4478E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oraz 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>NNW asystentów związanych ze świadczeniem usług asysten</w:t>
      </w:r>
      <w:r w:rsidR="001E6E82" w:rsidRPr="00531807">
        <w:rPr>
          <w:rFonts w:asciiTheme="minorHAnsi" w:hAnsiTheme="minorHAnsi" w:cstheme="minorHAnsi"/>
          <w:color w:val="FF0000"/>
          <w:sz w:val="24"/>
          <w:szCs w:val="24"/>
        </w:rPr>
        <w:t>cji osobistej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, w wysokości 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nie</w:t>
      </w:r>
      <w:r w:rsidR="005D7BA2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większej niż 150 zł rocznie</w:t>
      </w:r>
      <w:r w:rsidR="00DA3086" w:rsidRPr="00531807">
        <w:rPr>
          <w:rFonts w:asciiTheme="minorHAnsi" w:hAnsiTheme="minorHAnsi" w:cstheme="minorHAnsi"/>
          <w:color w:val="FF0000"/>
          <w:sz w:val="24"/>
          <w:szCs w:val="24"/>
        </w:rPr>
        <w:t>, przy czym zapewnienie ubezpieczenia OC jest obowiązkiem realizatora Programu</w:t>
      </w:r>
      <w:r w:rsidR="00713116" w:rsidRPr="00531807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:rsidR="00AD37D4" w:rsidRPr="0053180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>1)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80681D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nie większej niż 300 zł miesięcznie</w:t>
      </w:r>
      <w:r w:rsidR="00E85A14" w:rsidRPr="00531807">
        <w:rPr>
          <w:rFonts w:asciiTheme="minorHAnsi" w:eastAsiaTheme="minorHAnsi" w:hAnsiTheme="minorHAnsi" w:cstheme="minorHAnsi"/>
          <w:b/>
          <w:color w:val="FF0000"/>
          <w:sz w:val="24"/>
          <w:szCs w:val="24"/>
          <w:u w:val="single"/>
          <w:lang w:eastAsia="en-US"/>
        </w:rPr>
        <w:t xml:space="preserve"> </w:t>
      </w:r>
      <w:r w:rsidR="00E85A14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na asystenta</w:t>
      </w:r>
      <w:r w:rsidR="00E85A14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wykonującego usługę asystencji osobistej dla jednej osoby niepełnosprawnej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:rsidR="0080681D" w:rsidRPr="0053180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>2)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nie większej niż</w:t>
      </w:r>
      <w:r w:rsidR="00E85A14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500 zł </w:t>
      </w:r>
      <w:r w:rsidR="005D7BA2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miesięcznie 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na</w:t>
      </w:r>
      <w:r w:rsidR="00E85A14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="005D7BA2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asystenta</w:t>
      </w:r>
      <w:r w:rsidR="00ED3D63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pod warunkiem</w:t>
      </w:r>
      <w:r w:rsidR="00ED3D63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, że </w:t>
      </w:r>
      <w:r w:rsidR="00E85A14" w:rsidRPr="00531807">
        <w:rPr>
          <w:rFonts w:asciiTheme="minorHAnsi" w:hAnsiTheme="minorHAnsi" w:cstheme="minorHAnsi"/>
          <w:color w:val="FF0000"/>
          <w:sz w:val="24"/>
          <w:szCs w:val="24"/>
        </w:rPr>
        <w:t>wykonuj</w:t>
      </w:r>
      <w:r w:rsidR="00CD66F9" w:rsidRPr="00531807">
        <w:rPr>
          <w:rFonts w:asciiTheme="minorHAnsi" w:hAnsiTheme="minorHAnsi" w:cstheme="minorHAnsi"/>
          <w:color w:val="FF0000"/>
          <w:sz w:val="24"/>
          <w:szCs w:val="24"/>
        </w:rPr>
        <w:t>e on</w:t>
      </w:r>
      <w:r w:rsidR="00E85A14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usługę asystencji osobistej dla więcej niż jednej osoby niepełnosprawnej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oraz gdy, 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lastRenderedPageBreak/>
        <w:t>koszty te związane są ze świadczeniem usług asystencji osobistej dla więcej niż jednej osoby</w:t>
      </w:r>
      <w:r w:rsidR="005833D2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niepełnosprawnej</w:t>
      </w:r>
      <w:r w:rsidR="0080681D" w:rsidRPr="00531807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:rsidR="00677C49" w:rsidRPr="0053180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usługi asysten</w:t>
      </w:r>
      <w:r w:rsidR="001E6E82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cji osobistej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świadczone przez członków rodziny, opiekunów prawnych lub osoby faktycznie zamieszkujące razem z uczestnikiem.</w:t>
      </w:r>
    </w:p>
    <w:p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:rsidR="000F5DE6" w:rsidRPr="00531807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a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 o któr</w:t>
      </w:r>
      <w:r w:rsidR="00472871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ej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mowa w zdaniu </w:t>
      </w:r>
      <w:r w:rsidR="00472871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poprzedzającym</w:t>
      </w:r>
      <w:r w:rsidR="00552B79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 wymaga uprzedniego, pisemnego zgłoszenia do wojewody.</w:t>
      </w:r>
    </w:p>
    <w:p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Niedozwolon</w:t>
      </w:r>
      <w:r w:rsidR="0005339E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a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="0005339E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jest</w:t>
      </w:r>
      <w:r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="0005339E" w:rsidRPr="0053180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zmiana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Podmioty realizujące zadania wynikające z umów zawartych w ramach Programu są obowiązane do posiadania 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>wyodrębnionego rachunku bankowego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Wójt, burmistrz, prezydent miasta/starosta może pokryć koszty obsługi Programu w wysokości faktycznie poniesionej, 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>nie wię</w:t>
      </w:r>
      <w:r w:rsidR="009327E4" w:rsidRPr="00531807">
        <w:rPr>
          <w:rFonts w:asciiTheme="minorHAnsi" w:hAnsiTheme="minorHAnsi" w:cstheme="minorHAnsi"/>
          <w:color w:val="FF0000"/>
          <w:sz w:val="24"/>
          <w:szCs w:val="24"/>
        </w:rPr>
        <w:t>kszej</w:t>
      </w:r>
      <w:r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niż 2% środków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przekazanych na realizację tego Programu.</w:t>
      </w:r>
    </w:p>
    <w:p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</w:t>
      </w:r>
      <w:r w:rsidR="00CF4F93" w:rsidRPr="00531807">
        <w:rPr>
          <w:rFonts w:asciiTheme="minorHAnsi" w:hAnsiTheme="minorHAnsi" w:cstheme="minorHAnsi"/>
          <w:b/>
          <w:color w:val="FF0000"/>
          <w:u w:val="single"/>
        </w:rPr>
        <w:t>RODO</w:t>
      </w:r>
      <w:r w:rsidR="00CF4F93" w:rsidRPr="00040FC4">
        <w:rPr>
          <w:rFonts w:asciiTheme="minorHAnsi" w:hAnsiTheme="minorHAnsi" w:cstheme="minorHAnsi"/>
        </w:rPr>
        <w:t>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</w:t>
      </w:r>
      <w:r w:rsidR="00040FC4" w:rsidRPr="00BC4A44">
        <w:rPr>
          <w:rFonts w:asciiTheme="minorHAnsi" w:hAnsiTheme="minorHAnsi" w:cstheme="minorHAnsi"/>
        </w:rPr>
        <w:lastRenderedPageBreak/>
        <w:t xml:space="preserve">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:rsidR="00F064E8" w:rsidRPr="00531807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531807">
        <w:rPr>
          <w:rFonts w:asciiTheme="minorHAnsi" w:hAnsiTheme="minorHAnsi" w:cstheme="minorHAnsi"/>
          <w:color w:val="FF0000"/>
        </w:rPr>
        <w:t xml:space="preserve">Za realizację obowiązku informacyjnego, o którym mowa w art. 13 lub art. 14 RODO, pełną odpowiedzialność ponosi </w:t>
      </w:r>
      <w:r w:rsidR="00541F96" w:rsidRPr="00531807">
        <w:rPr>
          <w:rFonts w:asciiTheme="minorHAnsi" w:hAnsiTheme="minorHAnsi" w:cstheme="minorHAnsi"/>
          <w:color w:val="FF0000"/>
        </w:rPr>
        <w:t>g</w:t>
      </w:r>
      <w:r w:rsidRPr="00531807">
        <w:rPr>
          <w:rFonts w:asciiTheme="minorHAnsi" w:hAnsiTheme="minorHAnsi" w:cstheme="minorHAnsi"/>
          <w:color w:val="FF0000"/>
        </w:rPr>
        <w:t>mina/</w:t>
      </w:r>
      <w:r w:rsidR="00541F96" w:rsidRPr="00531807">
        <w:rPr>
          <w:rFonts w:asciiTheme="minorHAnsi" w:hAnsiTheme="minorHAnsi" w:cstheme="minorHAnsi"/>
          <w:color w:val="FF0000"/>
        </w:rPr>
        <w:t>p</w:t>
      </w:r>
      <w:r w:rsidRPr="00531807">
        <w:rPr>
          <w:rFonts w:asciiTheme="minorHAnsi" w:hAnsiTheme="minorHAnsi" w:cstheme="minorHAnsi"/>
          <w:color w:val="FF0000"/>
        </w:rPr>
        <w:t>owiat</w:t>
      </w:r>
      <w:r w:rsidR="002F259C" w:rsidRPr="00531807">
        <w:rPr>
          <w:rFonts w:asciiTheme="minorHAnsi" w:hAnsiTheme="minorHAnsi" w:cstheme="minorHAnsi"/>
          <w:color w:val="FF0000"/>
        </w:rPr>
        <w:t xml:space="preserve"> </w:t>
      </w:r>
      <w:r w:rsidR="00FB2B47" w:rsidRPr="00531807">
        <w:rPr>
          <w:rFonts w:asciiTheme="minorHAnsi" w:hAnsiTheme="minorHAnsi" w:cstheme="minorHAnsi"/>
          <w:color w:val="FF0000"/>
        </w:rPr>
        <w:t xml:space="preserve">lub inny podmiot, któremu </w:t>
      </w:r>
      <w:r w:rsidR="002F259C" w:rsidRPr="00531807">
        <w:rPr>
          <w:rFonts w:asciiTheme="minorHAnsi" w:hAnsiTheme="minorHAnsi" w:cstheme="minorHAnsi"/>
          <w:color w:val="FF0000"/>
        </w:rPr>
        <w:t>gmina/powiat zleciła realizację Programu.</w:t>
      </w:r>
    </w:p>
    <w:p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bookmarkStart w:id="108" w:name="_GoBack"/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bookmarkEnd w:id="108"/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531807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color w:val="FF0000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531807">
        <w:rPr>
          <w:rFonts w:cs="Calibri"/>
          <w:color w:val="FF0000"/>
          <w:sz w:val="24"/>
          <w:szCs w:val="24"/>
        </w:rPr>
        <w:t>Informowanie</w:t>
      </w:r>
      <w:r w:rsidR="00FA6E13" w:rsidRPr="00531807">
        <w:rPr>
          <w:rFonts w:cs="Calibri"/>
          <w:color w:val="FF0000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A6E13" w:rsidRPr="0053180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color w:val="FF0000"/>
          <w:sz w:val="24"/>
          <w:szCs w:val="24"/>
        </w:rPr>
      </w:pPr>
      <w:r w:rsidRPr="00531807">
        <w:rPr>
          <w:rFonts w:cs="Calibri"/>
          <w:color w:val="FF0000"/>
          <w:sz w:val="24"/>
          <w:szCs w:val="24"/>
        </w:rPr>
        <w:t>Umieszczanie</w:t>
      </w:r>
      <w:r w:rsidR="00FA6E13" w:rsidRPr="00531807">
        <w:rPr>
          <w:rFonts w:cs="Calibri"/>
          <w:color w:val="FF0000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531807">
        <w:rPr>
          <w:rFonts w:cs="Calibri"/>
          <w:color w:val="FF0000"/>
          <w:sz w:val="24"/>
          <w:szCs w:val="24"/>
        </w:rPr>
        <w:lastRenderedPageBreak/>
        <w:t>publicznego oraz zakupionych środkach trwałych, proporcjonalnie do wielkości innych oznaczeń, w sposób zapewniający jego dobrą widoczność.</w:t>
      </w:r>
    </w:p>
    <w:p w:rsidR="00836368" w:rsidRPr="0053180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FF0000"/>
          <w:spacing w:val="-4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>W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ramach informowania, o którym mowa w </w:t>
      </w:r>
      <w:r w:rsidR="00ED0EC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ust. 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>12</w:t>
      </w:r>
      <w:r w:rsidR="00092651" w:rsidRPr="00531807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gmina/powiat </w:t>
      </w:r>
      <w:r w:rsidR="00ED0ECD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jest </w:t>
      </w:r>
      <w:r w:rsidR="00F86B4D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obowiązana do podejmowania działań informacyjnych dotyczących finansowania </w:t>
      </w:r>
      <w:r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z</w:t>
      </w:r>
      <w:r w:rsidR="00F86B4D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adania ze środków 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>Funduszu przyznanych w</w:t>
      </w:r>
      <w:r w:rsidR="005F6ACB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>ramach Programu,</w:t>
      </w:r>
      <w:r w:rsidR="00F86B4D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oraz </w:t>
      </w:r>
      <w:r w:rsidR="00F86B4D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rozporządzeniem Rady Ministrów z</w:t>
      </w:r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F86B4D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dnia 7</w:t>
      </w:r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F86B4D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z. 953</w:t>
      </w:r>
      <w:r w:rsidR="00AE6C46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,</w:t>
      </w:r>
      <w:r w:rsidR="00566F64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z </w:t>
      </w:r>
      <w:proofErr w:type="spellStart"/>
      <w:r w:rsidR="00566F64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późn</w:t>
      </w:r>
      <w:proofErr w:type="spellEnd"/>
      <w:r w:rsidR="00566F64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. zm.</w:t>
      </w:r>
      <w:r w:rsidR="005B39F7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)</w:t>
      </w:r>
      <w:r w:rsidR="006A4960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.</w:t>
      </w:r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W szczególności, gmina/powiat przy</w:t>
      </w:r>
      <w:bookmarkStart w:id="116" w:name="highlightHit_26"/>
      <w:bookmarkEnd w:id="116"/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podejmowaniu</w:t>
      </w:r>
      <w:bookmarkStart w:id="117" w:name="highlightHit_27"/>
      <w:bookmarkEnd w:id="117"/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działań</w:t>
      </w:r>
      <w:bookmarkStart w:id="118" w:name="highlightHit_28"/>
      <w:bookmarkEnd w:id="118"/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informacyjnych używa wzorów plakatów</w:t>
      </w:r>
      <w:bookmarkStart w:id="119" w:name="highlightHit_29"/>
      <w:bookmarkEnd w:id="119"/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informacyjnych,</w:t>
      </w:r>
      <w:bookmarkStart w:id="120" w:name="highlightHit_30"/>
      <w:bookmarkEnd w:id="120"/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określonych w załączniku nr 1 do ww. rozporządzenia. Edytowalne pliki cyfrowe </w:t>
      </w:r>
      <w:r w:rsidR="00620623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plakatów informacyjnych </w:t>
      </w:r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https://www.gov.pl/web/premier/dzialania-informacyjne</w:t>
      </w:r>
      <w:r w:rsidR="00836368" w:rsidRPr="00531807">
        <w:rPr>
          <w:rFonts w:asciiTheme="minorHAnsi" w:hAnsiTheme="minorHAnsi" w:cstheme="minorHAnsi"/>
          <w:color w:val="FF0000"/>
          <w:spacing w:val="-4"/>
          <w:sz w:val="24"/>
          <w:szCs w:val="24"/>
        </w:rPr>
        <w:t>.</w:t>
      </w:r>
    </w:p>
    <w:p w:rsidR="00677C49" w:rsidRPr="0053180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531807">
        <w:rPr>
          <w:rFonts w:asciiTheme="minorHAnsi" w:hAnsiTheme="minorHAnsi" w:cstheme="minorHAnsi"/>
          <w:color w:val="FF0000"/>
          <w:sz w:val="24"/>
          <w:szCs w:val="24"/>
        </w:rPr>
        <w:t>R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 xml:space="preserve">ozpowszechnianie w dowolnej formie, w prasie, radiu, telewizji, </w:t>
      </w:r>
      <w:r w:rsidR="005F32A2" w:rsidRPr="00531807">
        <w:rPr>
          <w:rFonts w:asciiTheme="minorHAnsi" w:hAnsiTheme="minorHAnsi" w:cstheme="minorHAnsi"/>
          <w:color w:val="FF0000"/>
          <w:sz w:val="24"/>
          <w:szCs w:val="24"/>
        </w:rPr>
        <w:t>I</w:t>
      </w:r>
      <w:r w:rsidR="00F86B4D" w:rsidRPr="00531807">
        <w:rPr>
          <w:rFonts w:asciiTheme="minorHAnsi" w:hAnsiTheme="minorHAnsi" w:cstheme="minorHAnsi"/>
          <w:color w:val="FF0000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 w:rsidSect="00FA183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DB" w:rsidRDefault="00253BDB">
      <w:r>
        <w:separator/>
      </w:r>
    </w:p>
  </w:endnote>
  <w:endnote w:type="continuationSeparator" w:id="0">
    <w:p w:rsidR="00253BDB" w:rsidRDefault="0025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94" w:rsidRDefault="006138CE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F95B94">
      <w:instrText>PAGE  \* MERGEFORMAT</w:instrText>
    </w:r>
    <w:r>
      <w:fldChar w:fldCharType="separate"/>
    </w:r>
    <w:r w:rsidR="00531807" w:rsidRPr="00531807">
      <w:rPr>
        <w:rFonts w:hAnsi="Times New Roman"/>
        <w:noProof/>
        <w:sz w:val="22"/>
        <w:szCs w:val="22"/>
      </w:rPr>
      <w:t>27</w:t>
    </w:r>
    <w:r>
      <w:fldChar w:fldCharType="end"/>
    </w:r>
  </w:p>
  <w:p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DB" w:rsidRDefault="00253BDB">
      <w:r>
        <w:separator/>
      </w:r>
    </w:p>
  </w:footnote>
  <w:footnote w:type="continuationSeparator" w:id="0">
    <w:p w:rsidR="00253BDB" w:rsidRDefault="00253BDB">
      <w:r>
        <w:continuationSeparator/>
      </w:r>
    </w:p>
  </w:footnote>
  <w:footnote w:id="1">
    <w:p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759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46CFB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2E"/>
    <w:rsid w:val="00245ADF"/>
    <w:rsid w:val="002501F1"/>
    <w:rsid w:val="00253BDB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1807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8CE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183B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183A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83A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83A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FA183A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FA183A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FA183A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FA183A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FA183A"/>
  </w:style>
  <w:style w:type="paragraph" w:styleId="Spistreci2">
    <w:name w:val="toc 2"/>
    <w:basedOn w:val="Normalny"/>
    <w:next w:val="Normalny"/>
    <w:uiPriority w:val="29"/>
    <w:unhideWhenUsed/>
    <w:qFormat/>
    <w:rsid w:val="00FA183A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FA183A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FA183A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FA183A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FA183A"/>
  </w:style>
  <w:style w:type="character" w:customStyle="1" w:styleId="TekstprzypisudolnegoZnak">
    <w:name w:val="Tekst przypisu dolnego Znak"/>
    <w:basedOn w:val="Domylnaczcionkaakapitu"/>
    <w:link w:val="Tekstprzypisudolnego"/>
    <w:rsid w:val="00FA183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FA183A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A183A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FA1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183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FA1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183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FA183A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83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83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183A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183A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FA183A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A183A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FA183A"/>
  </w:style>
  <w:style w:type="paragraph" w:customStyle="1" w:styleId="Default">
    <w:name w:val="Default"/>
    <w:rsid w:val="00FA183A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A183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183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FA183A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BBA5-9640-4D30-B1E2-547642E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7089</Words>
  <Characters>42536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michal radecki</cp:lastModifiedBy>
  <cp:revision>4</cp:revision>
  <cp:lastPrinted>2022-11-03T10:31:00Z</cp:lastPrinted>
  <dcterms:created xsi:type="dcterms:W3CDTF">2022-11-03T10:32:00Z</dcterms:created>
  <dcterms:modified xsi:type="dcterms:W3CDTF">2023-01-29T09:07:00Z</dcterms:modified>
</cp:coreProperties>
</file>